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5ECF" w14:textId="09A8270A" w:rsidR="00134FEB" w:rsidRPr="00E343A3" w:rsidRDefault="00134FEB" w:rsidP="574005F8">
      <w:pPr>
        <w:rPr>
          <w:sz w:val="2"/>
          <w:szCs w:val="2"/>
        </w:rPr>
      </w:pPr>
    </w:p>
    <w:p w14:paraId="76B4699E" w14:textId="0244C2DF" w:rsidR="00175E8F" w:rsidRPr="008935F8" w:rsidRDefault="00175E8F">
      <w:pPr>
        <w:rPr>
          <w:sz w:val="6"/>
          <w:szCs w:val="6"/>
        </w:rPr>
      </w:pPr>
    </w:p>
    <w:p w14:paraId="22F48ADA" w14:textId="1CB577E7" w:rsidR="00175E8F" w:rsidRDefault="00175E8F" w:rsidP="6DF75BEE">
      <w:pPr>
        <w:jc w:val="center"/>
        <w:rPr>
          <w:b/>
          <w:bCs/>
          <w:color w:val="1F3864" w:themeColor="accent1" w:themeShade="80"/>
          <w:sz w:val="40"/>
          <w:szCs w:val="40"/>
          <w:u w:val="single"/>
        </w:rPr>
      </w:pPr>
      <w:r w:rsidRPr="6DF75BEE">
        <w:rPr>
          <w:b/>
          <w:bCs/>
          <w:color w:val="296D6C"/>
          <w:sz w:val="40"/>
          <w:szCs w:val="40"/>
          <w:u w:val="single"/>
        </w:rPr>
        <w:t>VACANCY – MASTERY SPECIALIST</w:t>
      </w:r>
      <w:r w:rsidR="04D23352" w:rsidRPr="6DF75BEE">
        <w:rPr>
          <w:b/>
          <w:bCs/>
          <w:color w:val="296D6C"/>
          <w:sz w:val="40"/>
          <w:szCs w:val="40"/>
          <w:u w:val="single"/>
        </w:rPr>
        <w:t>S IN GCSE RESIT AND FUNCTIONAL SKILLS</w:t>
      </w:r>
    </w:p>
    <w:p w14:paraId="337A6CB9" w14:textId="3E71EDD8" w:rsidR="00077520" w:rsidRPr="00175E8F" w:rsidRDefault="00077520" w:rsidP="574005F8">
      <w:pPr>
        <w:jc w:val="center"/>
        <w:rPr>
          <w:b/>
          <w:bCs/>
          <w:color w:val="1F3864" w:themeColor="accent1" w:themeShade="80"/>
          <w:sz w:val="40"/>
          <w:szCs w:val="40"/>
          <w:u w:val="single"/>
        </w:rPr>
      </w:pPr>
      <w:r w:rsidRPr="6DF75BEE">
        <w:rPr>
          <w:b/>
          <w:bCs/>
          <w:color w:val="296D6C"/>
          <w:sz w:val="40"/>
          <w:szCs w:val="40"/>
          <w:u w:val="single"/>
        </w:rPr>
        <w:t>C</w:t>
      </w:r>
      <w:r w:rsidR="006A54A5" w:rsidRPr="6DF75BEE">
        <w:rPr>
          <w:b/>
          <w:bCs/>
          <w:color w:val="296D6C"/>
          <w:sz w:val="40"/>
          <w:szCs w:val="40"/>
          <w:u w:val="single"/>
        </w:rPr>
        <w:t>OHORT</w:t>
      </w:r>
      <w:r w:rsidRPr="6DF75BEE">
        <w:rPr>
          <w:b/>
          <w:bCs/>
          <w:color w:val="296D6C"/>
          <w:sz w:val="40"/>
          <w:szCs w:val="40"/>
          <w:u w:val="single"/>
        </w:rPr>
        <w:t xml:space="preserve"> </w:t>
      </w:r>
      <w:r w:rsidR="2E8271A3" w:rsidRPr="6DF75BEE">
        <w:rPr>
          <w:b/>
          <w:bCs/>
          <w:color w:val="296D6C"/>
          <w:sz w:val="40"/>
          <w:szCs w:val="40"/>
          <w:u w:val="single"/>
        </w:rPr>
        <w:t>2</w:t>
      </w:r>
    </w:p>
    <w:p w14:paraId="3C6743D1" w14:textId="60A17726" w:rsidR="00175E8F" w:rsidRPr="004C0658" w:rsidRDefault="00175E8F" w:rsidP="00175E8F">
      <w:pPr>
        <w:jc w:val="center"/>
        <w:rPr>
          <w:b/>
          <w:bCs/>
          <w:color w:val="1F3864" w:themeColor="accent1" w:themeShade="80"/>
          <w:sz w:val="36"/>
          <w:szCs w:val="36"/>
          <w:u w:val="single"/>
        </w:rPr>
      </w:pPr>
    </w:p>
    <w:p w14:paraId="5165F576" w14:textId="389375E6" w:rsidR="001E48E5" w:rsidRDefault="00175E8F" w:rsidP="6DF75BEE">
      <w:pPr>
        <w:jc w:val="center"/>
        <w:rPr>
          <w:b/>
          <w:bCs/>
          <w:color w:val="000000" w:themeColor="text1"/>
          <w:sz w:val="27"/>
          <w:szCs w:val="27"/>
        </w:rPr>
      </w:pPr>
      <w:r w:rsidRPr="6DF75BEE">
        <w:rPr>
          <w:b/>
          <w:bCs/>
          <w:color w:val="000000" w:themeColor="text1"/>
          <w:sz w:val="27"/>
          <w:szCs w:val="27"/>
        </w:rPr>
        <w:t xml:space="preserve">We have an exciting opportunity for </w:t>
      </w:r>
      <w:r w:rsidR="59C3585B" w:rsidRPr="6DF75BEE">
        <w:rPr>
          <w:b/>
          <w:bCs/>
          <w:color w:val="000000" w:themeColor="text1"/>
          <w:sz w:val="27"/>
          <w:szCs w:val="27"/>
        </w:rPr>
        <w:t>Further Education establishments to nominate</w:t>
      </w:r>
      <w:r w:rsidRPr="6DF75BEE">
        <w:rPr>
          <w:b/>
          <w:bCs/>
          <w:color w:val="000000" w:themeColor="text1"/>
          <w:sz w:val="27"/>
          <w:szCs w:val="27"/>
        </w:rPr>
        <w:t xml:space="preserve"> </w:t>
      </w:r>
      <w:r w:rsidR="00077520" w:rsidRPr="6DF75BEE">
        <w:rPr>
          <w:b/>
          <w:bCs/>
          <w:color w:val="000000" w:themeColor="text1"/>
          <w:sz w:val="27"/>
          <w:szCs w:val="27"/>
        </w:rPr>
        <w:t xml:space="preserve">‘lead </w:t>
      </w:r>
      <w:r w:rsidRPr="6DF75BEE">
        <w:rPr>
          <w:b/>
          <w:bCs/>
          <w:color w:val="000000" w:themeColor="text1"/>
          <w:sz w:val="27"/>
          <w:szCs w:val="27"/>
        </w:rPr>
        <w:t>teachers</w:t>
      </w:r>
      <w:r w:rsidR="00077520" w:rsidRPr="6DF75BEE">
        <w:rPr>
          <w:b/>
          <w:bCs/>
          <w:color w:val="000000" w:themeColor="text1"/>
          <w:sz w:val="27"/>
          <w:szCs w:val="27"/>
        </w:rPr>
        <w:t>’</w:t>
      </w:r>
      <w:r w:rsidRPr="6DF75BEE">
        <w:rPr>
          <w:b/>
          <w:bCs/>
          <w:color w:val="000000" w:themeColor="text1"/>
          <w:sz w:val="27"/>
          <w:szCs w:val="27"/>
        </w:rPr>
        <w:t xml:space="preserve"> </w:t>
      </w:r>
      <w:r w:rsidR="001E48E5" w:rsidRPr="6DF75BEE">
        <w:rPr>
          <w:b/>
          <w:bCs/>
          <w:color w:val="000000" w:themeColor="text1"/>
          <w:sz w:val="27"/>
          <w:szCs w:val="27"/>
        </w:rPr>
        <w:t xml:space="preserve">to </w:t>
      </w:r>
      <w:r w:rsidR="014644D1" w:rsidRPr="6DF75BEE">
        <w:rPr>
          <w:b/>
          <w:bCs/>
          <w:color w:val="000000" w:themeColor="text1"/>
          <w:sz w:val="27"/>
          <w:szCs w:val="27"/>
        </w:rPr>
        <w:t>train to become Post-16 GCSE/FSQ Mastery Specialists</w:t>
      </w:r>
    </w:p>
    <w:p w14:paraId="7771D584" w14:textId="21BB5395" w:rsidR="001E48E5" w:rsidRPr="00B7302A" w:rsidRDefault="001E48E5" w:rsidP="00175E8F">
      <w:pPr>
        <w:jc w:val="center"/>
        <w:rPr>
          <w:rStyle w:val="Emphasis"/>
          <w:rFonts w:cstheme="minorHAnsi"/>
          <w:i w:val="0"/>
          <w:iCs w:val="0"/>
          <w:color w:val="000000"/>
          <w:sz w:val="26"/>
          <w:szCs w:val="26"/>
        </w:rPr>
      </w:pPr>
      <w:r w:rsidRPr="00B7302A">
        <w:rPr>
          <w:color w:val="000000" w:themeColor="text1"/>
          <w:sz w:val="26"/>
          <w:szCs w:val="26"/>
        </w:rPr>
        <w:t xml:space="preserve">East Midlands East Maths Hub is one of 40 maths hubs across England being coordinated by the NCETM. </w:t>
      </w:r>
      <w:r w:rsidRPr="00B7302A">
        <w:rPr>
          <w:rStyle w:val="Emphasis"/>
          <w:rFonts w:cstheme="minorHAnsi"/>
          <w:i w:val="0"/>
          <w:iCs w:val="0"/>
          <w:color w:val="000000"/>
          <w:sz w:val="26"/>
          <w:szCs w:val="26"/>
        </w:rPr>
        <w:t xml:space="preserve">East Midlands East Maths Hub is an approachable, </w:t>
      </w:r>
      <w:r w:rsidR="00F82B94" w:rsidRPr="00B7302A">
        <w:rPr>
          <w:rStyle w:val="Emphasis"/>
          <w:rFonts w:cstheme="minorHAnsi"/>
          <w:i w:val="0"/>
          <w:iCs w:val="0"/>
          <w:color w:val="000000"/>
          <w:sz w:val="26"/>
          <w:szCs w:val="26"/>
        </w:rPr>
        <w:t>inclusive,</w:t>
      </w:r>
      <w:r w:rsidRPr="00B7302A">
        <w:rPr>
          <w:rStyle w:val="Emphasis"/>
          <w:rFonts w:cstheme="minorHAnsi"/>
          <w:i w:val="0"/>
          <w:iCs w:val="0"/>
          <w:color w:val="000000"/>
          <w:sz w:val="26"/>
          <w:szCs w:val="26"/>
        </w:rPr>
        <w:t> and supportive community which provides a research informed approach to mathematics education across all phases.</w:t>
      </w:r>
      <w:r w:rsidRPr="00B7302A">
        <w:rPr>
          <w:rFonts w:cstheme="minorHAnsi"/>
          <w:i/>
          <w:iCs/>
          <w:color w:val="000000"/>
          <w:sz w:val="26"/>
          <w:szCs w:val="26"/>
        </w:rPr>
        <w:t> </w:t>
      </w:r>
    </w:p>
    <w:p w14:paraId="2C29657C" w14:textId="4B2720DC" w:rsidR="00BF004C" w:rsidRDefault="00BF004C" w:rsidP="00175E8F">
      <w:pPr>
        <w:jc w:val="center"/>
        <w:rPr>
          <w:rStyle w:val="Emphasis"/>
          <w:rFonts w:cstheme="minorHAnsi"/>
          <w:i w:val="0"/>
          <w:iCs w:val="0"/>
          <w:color w:val="000000"/>
          <w:sz w:val="26"/>
          <w:szCs w:val="26"/>
        </w:rPr>
      </w:pPr>
    </w:p>
    <w:p w14:paraId="0279E0D5" w14:textId="637E6606" w:rsidR="006A54A5" w:rsidRPr="00BC0C96" w:rsidRDefault="00BF004C" w:rsidP="4400637E">
      <w:pPr>
        <w:rPr>
          <w:rStyle w:val="Emphasis"/>
          <w:b/>
          <w:bCs/>
          <w:i w:val="0"/>
          <w:iCs w:val="0"/>
          <w:color w:val="000000"/>
          <w:sz w:val="25"/>
          <w:szCs w:val="25"/>
        </w:rPr>
      </w:pPr>
      <w:r w:rsidRPr="4400637E">
        <w:rPr>
          <w:rStyle w:val="Emphasis"/>
          <w:b/>
          <w:bCs/>
          <w:i w:val="0"/>
          <w:iCs w:val="0"/>
          <w:color w:val="000000" w:themeColor="text1"/>
          <w:sz w:val="25"/>
          <w:szCs w:val="25"/>
        </w:rPr>
        <w:t xml:space="preserve">What </w:t>
      </w:r>
      <w:r w:rsidR="00077520" w:rsidRPr="4400637E">
        <w:rPr>
          <w:rStyle w:val="Emphasis"/>
          <w:b/>
          <w:bCs/>
          <w:i w:val="0"/>
          <w:iCs w:val="0"/>
          <w:color w:val="000000" w:themeColor="text1"/>
          <w:sz w:val="25"/>
          <w:szCs w:val="25"/>
        </w:rPr>
        <w:t xml:space="preserve">does </w:t>
      </w:r>
      <w:r w:rsidR="006A54A5" w:rsidRPr="4400637E">
        <w:rPr>
          <w:rStyle w:val="Emphasis"/>
          <w:b/>
          <w:bCs/>
          <w:i w:val="0"/>
          <w:iCs w:val="0"/>
          <w:color w:val="000000" w:themeColor="text1"/>
          <w:sz w:val="25"/>
          <w:szCs w:val="25"/>
        </w:rPr>
        <w:t xml:space="preserve">training to become a Mastery Specialist </w:t>
      </w:r>
      <w:r w:rsidR="00077520" w:rsidRPr="4400637E">
        <w:rPr>
          <w:rStyle w:val="Emphasis"/>
          <w:b/>
          <w:bCs/>
          <w:i w:val="0"/>
          <w:iCs w:val="0"/>
          <w:color w:val="000000" w:themeColor="text1"/>
          <w:sz w:val="25"/>
          <w:szCs w:val="25"/>
        </w:rPr>
        <w:t>involve</w:t>
      </w:r>
      <w:r w:rsidRPr="4400637E">
        <w:rPr>
          <w:rStyle w:val="Emphasis"/>
          <w:b/>
          <w:bCs/>
          <w:i w:val="0"/>
          <w:iCs w:val="0"/>
          <w:color w:val="000000" w:themeColor="text1"/>
          <w:sz w:val="25"/>
          <w:szCs w:val="25"/>
        </w:rPr>
        <w:t>?</w:t>
      </w:r>
    </w:p>
    <w:p w14:paraId="561B74BD" w14:textId="37F986E1" w:rsidR="252000DD" w:rsidRDefault="252000DD" w:rsidP="6DF75BEE">
      <w:pPr>
        <w:shd w:val="clear" w:color="auto" w:fill="FFFFFF" w:themeFill="background1"/>
        <w:ind w:left="-20" w:right="-20"/>
        <w:rPr>
          <w:sz w:val="25"/>
          <w:szCs w:val="25"/>
        </w:rPr>
      </w:pPr>
      <w:r w:rsidRPr="6DF75BEE">
        <w:rPr>
          <w:sz w:val="25"/>
          <w:szCs w:val="25"/>
        </w:rPr>
        <w:t>The programme has an initial training year, followed by a second year and beyond in which specialists support others. It equips participants with the knowledge and skills to develop highly effective approaches to the teaching of GCSE Maths resit and Functional Skills Maths, using the principles of teaching for mastery.</w:t>
      </w:r>
    </w:p>
    <w:p w14:paraId="6875733B" w14:textId="1514FD2D" w:rsidR="252000DD" w:rsidRDefault="252000DD" w:rsidP="6DF75BEE">
      <w:pPr>
        <w:shd w:val="clear" w:color="auto" w:fill="FFFFFF" w:themeFill="background1"/>
        <w:ind w:left="-20" w:right="-20"/>
        <w:rPr>
          <w:sz w:val="25"/>
          <w:szCs w:val="25"/>
        </w:rPr>
      </w:pPr>
      <w:r w:rsidRPr="6DF75BEE">
        <w:rPr>
          <w:sz w:val="25"/>
          <w:szCs w:val="25"/>
        </w:rPr>
        <w:t>During the first year, the emphasis will be on the lead teacher developing their knowledge, understanding and skills of teaching for mastery in their own establishment.</w:t>
      </w:r>
    </w:p>
    <w:p w14:paraId="62A07726" w14:textId="366003A6" w:rsidR="252000DD" w:rsidRDefault="252000DD" w:rsidP="6DF75BEE">
      <w:pPr>
        <w:shd w:val="clear" w:color="auto" w:fill="FFFFFF" w:themeFill="background1"/>
        <w:ind w:left="-20" w:right="-20"/>
        <w:rPr>
          <w:sz w:val="25"/>
          <w:szCs w:val="25"/>
        </w:rPr>
      </w:pPr>
      <w:r w:rsidRPr="6DF75BEE">
        <w:rPr>
          <w:sz w:val="25"/>
          <w:szCs w:val="25"/>
        </w:rPr>
        <w:t>Upon completion of the first year of the programme, participants will join a collaborative cohort of Mastery Specialists according to their provision type. Participants will continue to develop teaching for mastery approaches in their own institutions, working with their colleagues whilst being supported by peers in the collaborative cohort.</w:t>
      </w:r>
    </w:p>
    <w:p w14:paraId="287360A9" w14:textId="77777777" w:rsidR="008935F8" w:rsidRDefault="008935F8" w:rsidP="6DF75BEE">
      <w:pPr>
        <w:shd w:val="clear" w:color="auto" w:fill="FFFFFF" w:themeFill="background1"/>
        <w:ind w:left="-20" w:right="-20"/>
        <w:rPr>
          <w:sz w:val="25"/>
          <w:szCs w:val="25"/>
        </w:rPr>
      </w:pPr>
    </w:p>
    <w:p w14:paraId="1FACA83C" w14:textId="62EBD7D2" w:rsidR="00077520" w:rsidRDefault="00077520" w:rsidP="008935F8">
      <w:pPr>
        <w:pStyle w:val="NormalWeb"/>
        <w:shd w:val="clear" w:color="auto" w:fill="FFFFFF"/>
        <w:spacing w:before="0" w:beforeAutospacing="0" w:after="0" w:afterAutospacing="0"/>
        <w:rPr>
          <w:rFonts w:asciiTheme="minorHAnsi" w:hAnsiTheme="minorHAnsi" w:cstheme="minorHAnsi"/>
          <w:b/>
          <w:bCs/>
          <w:color w:val="000000" w:themeColor="text1"/>
          <w:sz w:val="25"/>
          <w:szCs w:val="25"/>
        </w:rPr>
      </w:pPr>
      <w:r w:rsidRPr="6DF75BEE">
        <w:rPr>
          <w:rFonts w:asciiTheme="minorHAnsi" w:hAnsiTheme="minorHAnsi" w:cstheme="minorBidi"/>
          <w:b/>
          <w:bCs/>
          <w:color w:val="000000" w:themeColor="text1"/>
          <w:sz w:val="25"/>
          <w:szCs w:val="25"/>
        </w:rPr>
        <w:t>What funding is available?</w:t>
      </w:r>
    </w:p>
    <w:p w14:paraId="109CF834" w14:textId="701C654E" w:rsidR="1D0468C2" w:rsidRDefault="1D0468C2" w:rsidP="008935F8">
      <w:pPr>
        <w:pStyle w:val="NormalWeb"/>
        <w:spacing w:before="0" w:beforeAutospacing="0" w:after="0" w:afterAutospacing="0"/>
        <w:rPr>
          <w:rFonts w:asciiTheme="minorHAnsi" w:eastAsiaTheme="minorEastAsia" w:hAnsiTheme="minorHAnsi" w:cstheme="minorBidi"/>
          <w:sz w:val="25"/>
          <w:szCs w:val="25"/>
        </w:rPr>
      </w:pPr>
      <w:r w:rsidRPr="1A9F6C65">
        <w:rPr>
          <w:rFonts w:asciiTheme="minorHAnsi" w:eastAsiaTheme="minorEastAsia" w:hAnsiTheme="minorHAnsi" w:cstheme="minorBidi"/>
          <w:sz w:val="25"/>
          <w:szCs w:val="25"/>
        </w:rPr>
        <w:t xml:space="preserve">In 2024/25, the Maths Hub will cover the cost of the 15 days’ release time </w:t>
      </w:r>
      <w:r w:rsidR="21553F90" w:rsidRPr="1A9F6C65">
        <w:rPr>
          <w:rFonts w:asciiTheme="minorHAnsi" w:eastAsiaTheme="minorEastAsia" w:hAnsiTheme="minorHAnsi" w:cstheme="minorBidi"/>
          <w:sz w:val="25"/>
          <w:szCs w:val="25"/>
        </w:rPr>
        <w:t xml:space="preserve">(Approximately £6000) </w:t>
      </w:r>
      <w:r w:rsidRPr="1A9F6C65">
        <w:rPr>
          <w:rFonts w:asciiTheme="minorHAnsi" w:eastAsiaTheme="minorEastAsia" w:hAnsiTheme="minorHAnsi" w:cstheme="minorBidi"/>
          <w:sz w:val="25"/>
          <w:szCs w:val="25"/>
        </w:rPr>
        <w:t>for the nominated lead teacher. In 2025/26, the Maths Hub will cover the cost of the 15 days’ release time</w:t>
      </w:r>
      <w:r w:rsidR="429FE9B9" w:rsidRPr="1A9F6C65">
        <w:rPr>
          <w:rFonts w:asciiTheme="minorHAnsi" w:eastAsiaTheme="minorEastAsia" w:hAnsiTheme="minorHAnsi" w:cstheme="minorBidi"/>
          <w:sz w:val="25"/>
          <w:szCs w:val="25"/>
        </w:rPr>
        <w:t xml:space="preserve"> </w:t>
      </w:r>
      <w:r w:rsidRPr="1A9F6C65">
        <w:rPr>
          <w:rFonts w:asciiTheme="minorHAnsi" w:eastAsiaTheme="minorEastAsia" w:hAnsiTheme="minorHAnsi" w:cstheme="minorBidi"/>
          <w:sz w:val="25"/>
          <w:szCs w:val="25"/>
        </w:rPr>
        <w:t xml:space="preserve"> for the lead teacher.</w:t>
      </w:r>
    </w:p>
    <w:p w14:paraId="717266C7" w14:textId="77777777" w:rsidR="008935F8" w:rsidRDefault="008935F8" w:rsidP="008935F8">
      <w:pPr>
        <w:pStyle w:val="NormalWeb"/>
        <w:spacing w:before="0" w:beforeAutospacing="0" w:after="0" w:afterAutospacing="0"/>
        <w:rPr>
          <w:rFonts w:asciiTheme="minorHAnsi" w:eastAsiaTheme="minorEastAsia" w:hAnsiTheme="minorHAnsi" w:cstheme="minorBidi"/>
          <w:sz w:val="25"/>
          <w:szCs w:val="25"/>
        </w:rPr>
      </w:pPr>
    </w:p>
    <w:p w14:paraId="444DBDA3" w14:textId="1007069D" w:rsidR="00077520" w:rsidRDefault="00077520" w:rsidP="008935F8">
      <w:pPr>
        <w:pStyle w:val="NormalWeb"/>
        <w:shd w:val="clear" w:color="auto" w:fill="FFFFFF" w:themeFill="background1"/>
        <w:spacing w:before="0" w:beforeAutospacing="0" w:after="0" w:afterAutospacing="0"/>
        <w:rPr>
          <w:rFonts w:asciiTheme="minorHAnsi" w:hAnsiTheme="minorHAnsi" w:cstheme="minorBidi"/>
          <w:b/>
          <w:bCs/>
          <w:color w:val="000000" w:themeColor="text1"/>
          <w:sz w:val="25"/>
          <w:szCs w:val="25"/>
        </w:rPr>
      </w:pPr>
      <w:r w:rsidRPr="4400637E">
        <w:rPr>
          <w:rFonts w:asciiTheme="minorHAnsi" w:hAnsiTheme="minorHAnsi" w:cstheme="minorBidi"/>
          <w:b/>
          <w:bCs/>
          <w:color w:val="000000" w:themeColor="text1"/>
          <w:sz w:val="25"/>
          <w:szCs w:val="25"/>
        </w:rPr>
        <w:t>What are the benefits of becoming a Mastery Specialist?</w:t>
      </w:r>
    </w:p>
    <w:p w14:paraId="0808211F" w14:textId="4FB47D72" w:rsidR="195B3859" w:rsidRDefault="195B3859" w:rsidP="008935F8">
      <w:pPr>
        <w:pStyle w:val="NormalWeb"/>
        <w:shd w:val="clear" w:color="auto" w:fill="FFFFFF" w:themeFill="background1"/>
        <w:spacing w:before="0" w:beforeAutospacing="0" w:after="0" w:afterAutospacing="0"/>
        <w:rPr>
          <w:rFonts w:asciiTheme="minorHAnsi" w:eastAsiaTheme="minorEastAsia" w:hAnsiTheme="minorHAnsi" w:cstheme="minorBidi"/>
          <w:sz w:val="25"/>
          <w:szCs w:val="25"/>
        </w:rPr>
      </w:pPr>
      <w:r w:rsidRPr="6DF75BEE">
        <w:rPr>
          <w:rFonts w:asciiTheme="minorHAnsi" w:eastAsiaTheme="minorEastAsia" w:hAnsiTheme="minorHAnsi" w:cstheme="minorBidi"/>
          <w:sz w:val="25"/>
          <w:szCs w:val="25"/>
        </w:rPr>
        <w:t xml:space="preserve">The benefits for FE establishments that apply to be part of the programme include: </w:t>
      </w:r>
    </w:p>
    <w:p w14:paraId="52D4A20B" w14:textId="01AA1BCB" w:rsidR="195B3859" w:rsidRDefault="195B3859" w:rsidP="6DF75BEE">
      <w:pPr>
        <w:pStyle w:val="NormalWeb"/>
        <w:numPr>
          <w:ilvl w:val="0"/>
          <w:numId w:val="1"/>
        </w:numPr>
        <w:shd w:val="clear" w:color="auto" w:fill="FFFFFF" w:themeFill="background1"/>
        <w:spacing w:before="0" w:beforeAutospacing="0"/>
        <w:rPr>
          <w:rFonts w:asciiTheme="minorHAnsi" w:eastAsiaTheme="minorEastAsia" w:hAnsiTheme="minorHAnsi" w:cstheme="minorBidi"/>
          <w:sz w:val="25"/>
          <w:szCs w:val="25"/>
        </w:rPr>
      </w:pPr>
      <w:r w:rsidRPr="6DF75BEE">
        <w:rPr>
          <w:rFonts w:asciiTheme="minorHAnsi" w:eastAsiaTheme="minorEastAsia" w:hAnsiTheme="minorHAnsi" w:cstheme="minorBidi"/>
          <w:sz w:val="25"/>
          <w:szCs w:val="25"/>
        </w:rPr>
        <w:t xml:space="preserve">the department developing a curriculum informed by a clear set of principles, policies, practices and systems which support a Further Education teaching for mastery approach </w:t>
      </w:r>
    </w:p>
    <w:p w14:paraId="38623903" w14:textId="0065F75F" w:rsidR="195B3859" w:rsidRDefault="195B3859" w:rsidP="6DF75BEE">
      <w:pPr>
        <w:pStyle w:val="NormalWeb"/>
        <w:numPr>
          <w:ilvl w:val="0"/>
          <w:numId w:val="1"/>
        </w:numPr>
        <w:shd w:val="clear" w:color="auto" w:fill="FFFFFF" w:themeFill="background1"/>
        <w:spacing w:before="0" w:beforeAutospacing="0"/>
        <w:rPr>
          <w:rFonts w:asciiTheme="minorHAnsi" w:eastAsiaTheme="minorEastAsia" w:hAnsiTheme="minorHAnsi" w:cstheme="minorBidi"/>
          <w:sz w:val="25"/>
          <w:szCs w:val="25"/>
        </w:rPr>
      </w:pPr>
      <w:r w:rsidRPr="6DF75BEE">
        <w:rPr>
          <w:rFonts w:asciiTheme="minorHAnsi" w:eastAsiaTheme="minorEastAsia" w:hAnsiTheme="minorHAnsi" w:cstheme="minorBidi"/>
          <w:sz w:val="25"/>
          <w:szCs w:val="25"/>
        </w:rPr>
        <w:t>the teachers in the department (including the specialist) developing a deep understanding of the principles and pedagogies underpinning teaching for mastery, and acquiring enhanced maths subject knowledge with a particular emphasis on progression within key areas of maths</w:t>
      </w:r>
    </w:p>
    <w:p w14:paraId="5B4ACD80" w14:textId="24A0E0F8" w:rsidR="195B3859" w:rsidRDefault="195B3859" w:rsidP="6DF75BEE">
      <w:pPr>
        <w:pStyle w:val="NormalWeb"/>
        <w:numPr>
          <w:ilvl w:val="0"/>
          <w:numId w:val="1"/>
        </w:numPr>
        <w:shd w:val="clear" w:color="auto" w:fill="FFFFFF" w:themeFill="background1"/>
        <w:spacing w:before="0" w:beforeAutospacing="0"/>
        <w:rPr>
          <w:rFonts w:asciiTheme="minorHAnsi" w:eastAsiaTheme="minorEastAsia" w:hAnsiTheme="minorHAnsi" w:cstheme="minorBidi"/>
          <w:sz w:val="25"/>
          <w:szCs w:val="25"/>
        </w:rPr>
      </w:pPr>
      <w:r w:rsidRPr="6DF75BEE">
        <w:rPr>
          <w:rFonts w:asciiTheme="minorHAnsi" w:eastAsiaTheme="minorEastAsia" w:hAnsiTheme="minorHAnsi" w:cstheme="minorBidi"/>
          <w:sz w:val="25"/>
          <w:szCs w:val="25"/>
        </w:rPr>
        <w:t xml:space="preserve">the growth of teachers’ collaborative work, through which planning, teaching and assessment practices are developed </w:t>
      </w:r>
    </w:p>
    <w:p w14:paraId="3077230B" w14:textId="18E89243" w:rsidR="195B3859" w:rsidRDefault="195B3859" w:rsidP="6DF75BEE">
      <w:pPr>
        <w:pStyle w:val="NormalWeb"/>
        <w:numPr>
          <w:ilvl w:val="0"/>
          <w:numId w:val="1"/>
        </w:numPr>
        <w:shd w:val="clear" w:color="auto" w:fill="FFFFFF" w:themeFill="background1"/>
        <w:spacing w:before="0" w:beforeAutospacing="0"/>
        <w:rPr>
          <w:rFonts w:asciiTheme="minorHAnsi" w:eastAsiaTheme="minorEastAsia" w:hAnsiTheme="minorHAnsi" w:cstheme="minorBidi"/>
          <w:sz w:val="25"/>
          <w:szCs w:val="25"/>
        </w:rPr>
      </w:pPr>
      <w:r w:rsidRPr="6DF75BEE">
        <w:rPr>
          <w:rFonts w:asciiTheme="minorHAnsi" w:eastAsiaTheme="minorEastAsia" w:hAnsiTheme="minorHAnsi" w:cstheme="minorBidi"/>
          <w:sz w:val="25"/>
          <w:szCs w:val="25"/>
        </w:rPr>
        <w:t xml:space="preserve">the specialist developing their own understanding and practice in supporting collaborative professional development within and beyond their establishment </w:t>
      </w:r>
    </w:p>
    <w:p w14:paraId="35AE0EF0" w14:textId="4FDA3FA5" w:rsidR="004C0658" w:rsidRPr="008935F8" w:rsidRDefault="195B3859" w:rsidP="008935F8">
      <w:pPr>
        <w:pStyle w:val="NormalWeb"/>
        <w:numPr>
          <w:ilvl w:val="0"/>
          <w:numId w:val="1"/>
        </w:numPr>
        <w:shd w:val="clear" w:color="auto" w:fill="FFFFFF" w:themeFill="background1"/>
        <w:spacing w:before="0" w:beforeAutospacing="0"/>
        <w:rPr>
          <w:rFonts w:asciiTheme="minorHAnsi" w:eastAsiaTheme="minorEastAsia" w:hAnsiTheme="minorHAnsi" w:cstheme="minorBidi"/>
          <w:sz w:val="25"/>
          <w:szCs w:val="25"/>
        </w:rPr>
      </w:pPr>
      <w:r w:rsidRPr="6DF75BEE">
        <w:rPr>
          <w:rFonts w:asciiTheme="minorHAnsi" w:eastAsiaTheme="minorEastAsia" w:hAnsiTheme="minorHAnsi" w:cstheme="minorBidi"/>
          <w:sz w:val="25"/>
          <w:szCs w:val="25"/>
        </w:rPr>
        <w:t>the department making effective use of materials and resources to support the design of well crafted lessons.</w:t>
      </w:r>
    </w:p>
    <w:p w14:paraId="3EE2BB8D" w14:textId="6A4A0BA8" w:rsidR="00077520" w:rsidRDefault="00077520" w:rsidP="00BF004C">
      <w:pPr>
        <w:pStyle w:val="NormalWeb"/>
        <w:shd w:val="clear" w:color="auto" w:fill="FFFFFF"/>
        <w:spacing w:before="0" w:beforeAutospacing="0"/>
        <w:rPr>
          <w:rFonts w:asciiTheme="minorHAnsi" w:hAnsiTheme="minorHAnsi" w:cstheme="minorHAnsi"/>
          <w:b/>
          <w:bCs/>
          <w:color w:val="000000" w:themeColor="text1"/>
          <w:sz w:val="25"/>
          <w:szCs w:val="25"/>
        </w:rPr>
      </w:pPr>
      <w:r>
        <w:rPr>
          <w:rFonts w:asciiTheme="minorHAnsi" w:hAnsiTheme="minorHAnsi" w:cstheme="minorHAnsi"/>
          <w:b/>
          <w:bCs/>
          <w:color w:val="000000" w:themeColor="text1"/>
          <w:sz w:val="25"/>
          <w:szCs w:val="25"/>
        </w:rPr>
        <w:lastRenderedPageBreak/>
        <w:t>Who can apply?</w:t>
      </w:r>
    </w:p>
    <w:tbl>
      <w:tblPr>
        <w:tblStyle w:val="ListTable3-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2C5D51" w:rsidRPr="002C5D51" w14:paraId="37627274" w14:textId="77777777" w:rsidTr="6DF75BE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505" w:type="dxa"/>
          </w:tcPr>
          <w:p w14:paraId="0222D695" w14:textId="325C0958" w:rsidR="00817498" w:rsidRPr="002C5D51" w:rsidRDefault="00817498" w:rsidP="00817498">
            <w:pPr>
              <w:pStyle w:val="NormalWeb"/>
              <w:spacing w:before="0" w:beforeAutospacing="0"/>
              <w:jc w:val="center"/>
              <w:rPr>
                <w:rFonts w:asciiTheme="minorHAnsi" w:hAnsiTheme="minorHAnsi" w:cstheme="minorHAnsi"/>
                <w:sz w:val="25"/>
                <w:szCs w:val="25"/>
              </w:rPr>
            </w:pPr>
            <w:r w:rsidRPr="002C5D51">
              <w:rPr>
                <w:rFonts w:asciiTheme="minorHAnsi" w:hAnsiTheme="minorHAnsi" w:cstheme="minorHAnsi"/>
                <w:sz w:val="25"/>
                <w:szCs w:val="25"/>
              </w:rPr>
              <w:t>Essential</w:t>
            </w:r>
          </w:p>
        </w:tc>
        <w:tc>
          <w:tcPr>
            <w:tcW w:w="4505" w:type="dxa"/>
          </w:tcPr>
          <w:p w14:paraId="0D8EB92C" w14:textId="503F95A0" w:rsidR="00817498" w:rsidRPr="002C5D51" w:rsidRDefault="00817498" w:rsidP="00817498">
            <w:pPr>
              <w:pStyle w:val="NormalWeb"/>
              <w:spacing w:before="0" w:before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5"/>
                <w:szCs w:val="25"/>
              </w:rPr>
            </w:pPr>
            <w:r w:rsidRPr="002C5D51">
              <w:rPr>
                <w:rFonts w:asciiTheme="minorHAnsi" w:hAnsiTheme="minorHAnsi" w:cstheme="minorHAnsi"/>
                <w:sz w:val="25"/>
                <w:szCs w:val="25"/>
              </w:rPr>
              <w:t>Desirable</w:t>
            </w:r>
          </w:p>
        </w:tc>
      </w:tr>
      <w:tr w:rsidR="6DF75BEE" w14:paraId="4B1F7541" w14:textId="77777777" w:rsidTr="6DF75B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5" w:type="dxa"/>
          </w:tcPr>
          <w:p w14:paraId="0D3BE3EA" w14:textId="51EBF1B0" w:rsidR="3AFBC08C" w:rsidRDefault="3AFBC08C" w:rsidP="6DF75BEE">
            <w:pPr>
              <w:pStyle w:val="NormalWeb"/>
              <w:rPr>
                <w:rFonts w:asciiTheme="minorHAnsi" w:eastAsiaTheme="minorEastAsia" w:hAnsiTheme="minorHAnsi" w:cstheme="minorBidi"/>
                <w:b w:val="0"/>
                <w:bCs w:val="0"/>
              </w:rPr>
            </w:pPr>
            <w:r w:rsidRPr="6DF75BEE">
              <w:rPr>
                <w:rFonts w:asciiTheme="minorHAnsi" w:eastAsiaTheme="minorEastAsia" w:hAnsiTheme="minorHAnsi" w:cstheme="minorBidi"/>
                <w:b w:val="0"/>
                <w:bCs w:val="0"/>
              </w:rPr>
              <w:t>A minimum of 2 years’ experience teaching maths</w:t>
            </w:r>
          </w:p>
        </w:tc>
        <w:tc>
          <w:tcPr>
            <w:tcW w:w="4505" w:type="dxa"/>
          </w:tcPr>
          <w:p w14:paraId="07674B4D" w14:textId="3F2F36B9" w:rsidR="3AFBC08C" w:rsidRDefault="3AFBC08C" w:rsidP="6DF75BEE">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6DF75BEE">
              <w:rPr>
                <w:rFonts w:asciiTheme="minorHAnsi" w:eastAsiaTheme="minorEastAsia" w:hAnsiTheme="minorHAnsi" w:cstheme="minorBidi"/>
              </w:rPr>
              <w:t>Qualified Teacher Status (QTS) or Qualified Teacher Learning and Skills (QTLS)</w:t>
            </w:r>
          </w:p>
        </w:tc>
      </w:tr>
      <w:tr w:rsidR="6DF75BEE" w14:paraId="16EBCC0E" w14:textId="77777777" w:rsidTr="6DF75BEE">
        <w:trPr>
          <w:trHeight w:val="300"/>
          <w:jc w:val="center"/>
        </w:trPr>
        <w:tc>
          <w:tcPr>
            <w:cnfStyle w:val="001000000000" w:firstRow="0" w:lastRow="0" w:firstColumn="1" w:lastColumn="0" w:oddVBand="0" w:evenVBand="0" w:oddHBand="0" w:evenHBand="0" w:firstRowFirstColumn="0" w:firstRowLastColumn="0" w:lastRowFirstColumn="0" w:lastRowLastColumn="0"/>
            <w:tcW w:w="4505" w:type="dxa"/>
          </w:tcPr>
          <w:p w14:paraId="169AE618" w14:textId="2BD7A2F1" w:rsidR="3AFBC08C" w:rsidRDefault="3AFBC08C" w:rsidP="6DF75BEE">
            <w:pPr>
              <w:pStyle w:val="NormalWeb"/>
              <w:rPr>
                <w:rFonts w:asciiTheme="minorHAnsi" w:eastAsiaTheme="minorEastAsia" w:hAnsiTheme="minorHAnsi" w:cstheme="minorBidi"/>
                <w:b w:val="0"/>
                <w:bCs w:val="0"/>
              </w:rPr>
            </w:pPr>
            <w:r w:rsidRPr="6DF75BEE">
              <w:rPr>
                <w:rFonts w:asciiTheme="minorHAnsi" w:eastAsiaTheme="minorEastAsia" w:hAnsiTheme="minorHAnsi" w:cstheme="minorBidi"/>
                <w:b w:val="0"/>
                <w:bCs w:val="0"/>
              </w:rPr>
              <w:t>Employed as a teacher in a Further Education setting, regularly delivering maths to students who come under the Condition of Funding policy (GCSE Resit or Functional Skills maths or both)</w:t>
            </w:r>
          </w:p>
        </w:tc>
        <w:tc>
          <w:tcPr>
            <w:tcW w:w="4505" w:type="dxa"/>
          </w:tcPr>
          <w:p w14:paraId="2278FB42" w14:textId="4E0BFF72" w:rsidR="3AFBC08C" w:rsidRDefault="3AFBC08C" w:rsidP="6DF75BEE">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6DF75BEE">
              <w:rPr>
                <w:rFonts w:asciiTheme="minorHAnsi" w:eastAsiaTheme="minorEastAsia" w:hAnsiTheme="minorHAnsi" w:cstheme="minorBidi"/>
              </w:rPr>
              <w:t>Additional status, e.g. Lead Practitioner; Mathematics SLE; NCETM Accredited PD Lead, CfEM PD or Action Research Lead</w:t>
            </w:r>
          </w:p>
        </w:tc>
      </w:tr>
      <w:tr w:rsidR="6DF75BEE" w14:paraId="1C8A9244" w14:textId="77777777" w:rsidTr="6DF75B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5" w:type="dxa"/>
          </w:tcPr>
          <w:p w14:paraId="7B5AB645" w14:textId="52491972" w:rsidR="3AFBC08C" w:rsidRDefault="3AFBC08C" w:rsidP="6DF75BEE">
            <w:pPr>
              <w:pStyle w:val="NormalWeb"/>
              <w:rPr>
                <w:rFonts w:asciiTheme="minorHAnsi" w:eastAsiaTheme="minorEastAsia" w:hAnsiTheme="minorHAnsi" w:cstheme="minorBidi"/>
                <w:b w:val="0"/>
                <w:bCs w:val="0"/>
              </w:rPr>
            </w:pPr>
            <w:r w:rsidRPr="6DF75BEE">
              <w:rPr>
                <w:rFonts w:asciiTheme="minorHAnsi" w:eastAsiaTheme="minorEastAsia" w:hAnsiTheme="minorHAnsi" w:cstheme="minorBidi"/>
                <w:b w:val="0"/>
                <w:bCs w:val="0"/>
              </w:rPr>
              <w:t>Good teaching skills in maths as evidenced by internal/external/Ofsted observation</w:t>
            </w:r>
          </w:p>
        </w:tc>
        <w:tc>
          <w:tcPr>
            <w:tcW w:w="4505" w:type="dxa"/>
          </w:tcPr>
          <w:p w14:paraId="37883E0B" w14:textId="684E85E6" w:rsidR="3AFBC08C" w:rsidRDefault="3AFBC08C" w:rsidP="6DF75BEE">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6DF75BEE">
              <w:rPr>
                <w:rFonts w:asciiTheme="minorHAnsi" w:eastAsiaTheme="minorEastAsia" w:hAnsiTheme="minorHAnsi" w:cstheme="minorBidi"/>
              </w:rPr>
              <w:t>Maths subject leader or responsibility within a maths department</w:t>
            </w:r>
          </w:p>
        </w:tc>
      </w:tr>
      <w:tr w:rsidR="6DF75BEE" w14:paraId="290A9574" w14:textId="77777777" w:rsidTr="6DF75BEE">
        <w:trPr>
          <w:trHeight w:val="300"/>
          <w:jc w:val="center"/>
        </w:trPr>
        <w:tc>
          <w:tcPr>
            <w:cnfStyle w:val="001000000000" w:firstRow="0" w:lastRow="0" w:firstColumn="1" w:lastColumn="0" w:oddVBand="0" w:evenVBand="0" w:oddHBand="0" w:evenHBand="0" w:firstRowFirstColumn="0" w:firstRowLastColumn="0" w:lastRowFirstColumn="0" w:lastRowLastColumn="0"/>
            <w:tcW w:w="4505" w:type="dxa"/>
          </w:tcPr>
          <w:p w14:paraId="6228D4DD" w14:textId="42BE708E" w:rsidR="3AFBC08C" w:rsidRDefault="3AFBC08C" w:rsidP="6DF75BEE">
            <w:pPr>
              <w:pStyle w:val="NormalWeb"/>
              <w:rPr>
                <w:rFonts w:asciiTheme="minorHAnsi" w:eastAsiaTheme="minorEastAsia" w:hAnsiTheme="minorHAnsi" w:cstheme="minorBidi"/>
                <w:b w:val="0"/>
                <w:bCs w:val="0"/>
              </w:rPr>
            </w:pPr>
            <w:r w:rsidRPr="6DF75BEE">
              <w:rPr>
                <w:rFonts w:asciiTheme="minorHAnsi" w:eastAsiaTheme="minorEastAsia" w:hAnsiTheme="minorHAnsi" w:cstheme="minorBidi"/>
                <w:b w:val="0"/>
                <w:bCs w:val="0"/>
              </w:rPr>
              <w:t>Passion and enthusiasm for improving student outcomes in mathematics</w:t>
            </w:r>
          </w:p>
        </w:tc>
        <w:tc>
          <w:tcPr>
            <w:tcW w:w="4505" w:type="dxa"/>
          </w:tcPr>
          <w:p w14:paraId="7D059F0D" w14:textId="3A0EF2C1" w:rsidR="3AFBC08C" w:rsidRDefault="3AFBC08C" w:rsidP="6DF75BEE">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6DF75BEE">
              <w:rPr>
                <w:rFonts w:asciiTheme="minorHAnsi" w:eastAsiaTheme="minorEastAsia" w:hAnsiTheme="minorHAnsi" w:cstheme="minorBidi"/>
              </w:rPr>
              <w:t>Experience of developing a department’s maths curriculum</w:t>
            </w:r>
          </w:p>
        </w:tc>
      </w:tr>
      <w:tr w:rsidR="6DF75BEE" w14:paraId="59ABA2E1" w14:textId="77777777" w:rsidTr="6DF75B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5" w:type="dxa"/>
          </w:tcPr>
          <w:p w14:paraId="6FBAE25D" w14:textId="6EB1F519" w:rsidR="3AFBC08C" w:rsidRDefault="3AFBC08C" w:rsidP="6DF75BEE">
            <w:pPr>
              <w:pStyle w:val="NormalWeb"/>
              <w:rPr>
                <w:rFonts w:asciiTheme="minorHAnsi" w:eastAsiaTheme="minorEastAsia" w:hAnsiTheme="minorHAnsi" w:cstheme="minorBidi"/>
                <w:b w:val="0"/>
                <w:bCs w:val="0"/>
              </w:rPr>
            </w:pPr>
            <w:r w:rsidRPr="6DF75BEE">
              <w:rPr>
                <w:rFonts w:asciiTheme="minorHAnsi" w:eastAsiaTheme="minorEastAsia" w:hAnsiTheme="minorHAnsi" w:cstheme="minorBidi"/>
                <w:b w:val="0"/>
                <w:bCs w:val="0"/>
              </w:rPr>
              <w:t>Ability to work collaboratively with others</w:t>
            </w:r>
          </w:p>
        </w:tc>
        <w:tc>
          <w:tcPr>
            <w:tcW w:w="4505" w:type="dxa"/>
          </w:tcPr>
          <w:p w14:paraId="0866861D" w14:textId="5EA01E4C" w:rsidR="3AFBC08C" w:rsidRDefault="3AFBC08C" w:rsidP="6DF75BEE">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6DF75BEE">
              <w:rPr>
                <w:rFonts w:asciiTheme="minorHAnsi" w:eastAsiaTheme="minorEastAsia" w:hAnsiTheme="minorHAnsi" w:cstheme="minorBidi"/>
              </w:rPr>
              <w:t>The ability to grow leadership capacity in others</w:t>
            </w:r>
          </w:p>
        </w:tc>
      </w:tr>
      <w:tr w:rsidR="6DF75BEE" w14:paraId="56208EA8" w14:textId="77777777" w:rsidTr="6DF75BEE">
        <w:trPr>
          <w:trHeight w:val="300"/>
          <w:jc w:val="center"/>
        </w:trPr>
        <w:tc>
          <w:tcPr>
            <w:cnfStyle w:val="001000000000" w:firstRow="0" w:lastRow="0" w:firstColumn="1" w:lastColumn="0" w:oddVBand="0" w:evenVBand="0" w:oddHBand="0" w:evenHBand="0" w:firstRowFirstColumn="0" w:firstRowLastColumn="0" w:lastRowFirstColumn="0" w:lastRowLastColumn="0"/>
            <w:tcW w:w="4505" w:type="dxa"/>
          </w:tcPr>
          <w:p w14:paraId="6F976C8E" w14:textId="79E658BC" w:rsidR="3AFBC08C" w:rsidRDefault="3AFBC08C" w:rsidP="6DF75BEE">
            <w:pPr>
              <w:pStyle w:val="NormalWeb"/>
              <w:rPr>
                <w:rFonts w:asciiTheme="minorHAnsi" w:eastAsiaTheme="minorEastAsia" w:hAnsiTheme="minorHAnsi" w:cstheme="minorBidi"/>
                <w:b w:val="0"/>
                <w:bCs w:val="0"/>
              </w:rPr>
            </w:pPr>
            <w:r w:rsidRPr="6DF75BEE">
              <w:rPr>
                <w:rFonts w:asciiTheme="minorHAnsi" w:eastAsiaTheme="minorEastAsia" w:hAnsiTheme="minorHAnsi" w:cstheme="minorBidi"/>
                <w:b w:val="0"/>
                <w:bCs w:val="0"/>
              </w:rPr>
              <w:t>Successful track record of working effectively with other professionals within own establishment</w:t>
            </w:r>
          </w:p>
        </w:tc>
        <w:tc>
          <w:tcPr>
            <w:tcW w:w="4505" w:type="dxa"/>
          </w:tcPr>
          <w:p w14:paraId="2E6F4E3F" w14:textId="1FDF3FF6" w:rsidR="3AFBC08C" w:rsidRDefault="3AFBC08C" w:rsidP="6DF75BEE">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6DF75BEE">
              <w:rPr>
                <w:rFonts w:asciiTheme="minorHAnsi" w:eastAsiaTheme="minorEastAsia" w:hAnsiTheme="minorHAnsi" w:cstheme="minorBidi"/>
              </w:rPr>
              <w:t>Experience of leading collaborative professional development</w:t>
            </w:r>
          </w:p>
        </w:tc>
      </w:tr>
      <w:tr w:rsidR="6DF75BEE" w14:paraId="38D6FA33" w14:textId="77777777" w:rsidTr="6DF75B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5" w:type="dxa"/>
          </w:tcPr>
          <w:p w14:paraId="4FAF9EE7" w14:textId="24438643" w:rsidR="3AFBC08C" w:rsidRDefault="3AFBC08C" w:rsidP="6DF75BEE">
            <w:pPr>
              <w:pStyle w:val="NormalWeb"/>
              <w:rPr>
                <w:rFonts w:asciiTheme="minorHAnsi" w:eastAsiaTheme="minorEastAsia" w:hAnsiTheme="minorHAnsi" w:cstheme="minorBidi"/>
                <w:b w:val="0"/>
                <w:bCs w:val="0"/>
              </w:rPr>
            </w:pPr>
            <w:r w:rsidRPr="6DF75BEE">
              <w:rPr>
                <w:rFonts w:asciiTheme="minorHAnsi" w:eastAsiaTheme="minorEastAsia" w:hAnsiTheme="minorHAnsi" w:cstheme="minorBidi"/>
                <w:b w:val="0"/>
                <w:bCs w:val="0"/>
              </w:rPr>
              <w:t>Excellent communication and interpersonal skills</w:t>
            </w:r>
          </w:p>
        </w:tc>
        <w:tc>
          <w:tcPr>
            <w:tcW w:w="4505" w:type="dxa"/>
          </w:tcPr>
          <w:p w14:paraId="1E4ABB27" w14:textId="6137ED7B" w:rsidR="6DF75BEE" w:rsidRDefault="6DF75BEE" w:rsidP="6DF75BEE">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p>
        </w:tc>
      </w:tr>
      <w:tr w:rsidR="6DF75BEE" w14:paraId="3180011C" w14:textId="77777777" w:rsidTr="6DF75BEE">
        <w:trPr>
          <w:trHeight w:val="300"/>
          <w:jc w:val="center"/>
        </w:trPr>
        <w:tc>
          <w:tcPr>
            <w:cnfStyle w:val="001000000000" w:firstRow="0" w:lastRow="0" w:firstColumn="1" w:lastColumn="0" w:oddVBand="0" w:evenVBand="0" w:oddHBand="0" w:evenHBand="0" w:firstRowFirstColumn="0" w:firstRowLastColumn="0" w:lastRowFirstColumn="0" w:lastRowLastColumn="0"/>
            <w:tcW w:w="4505" w:type="dxa"/>
          </w:tcPr>
          <w:p w14:paraId="41BA297C" w14:textId="33FE1E3E" w:rsidR="3AFBC08C" w:rsidRDefault="3AFBC08C" w:rsidP="6DF75BEE">
            <w:pPr>
              <w:pStyle w:val="NormalWeb"/>
              <w:rPr>
                <w:rFonts w:asciiTheme="minorHAnsi" w:eastAsiaTheme="minorEastAsia" w:hAnsiTheme="minorHAnsi" w:cstheme="minorBidi"/>
                <w:b w:val="0"/>
                <w:bCs w:val="0"/>
              </w:rPr>
            </w:pPr>
            <w:r w:rsidRPr="6DF75BEE">
              <w:rPr>
                <w:rFonts w:asciiTheme="minorHAnsi" w:eastAsiaTheme="minorEastAsia" w:hAnsiTheme="minorHAnsi" w:cstheme="minorBidi"/>
                <w:b w:val="0"/>
                <w:bCs w:val="0"/>
              </w:rPr>
              <w:t>An understanding of what constitutes effective learning in maths, and the ability and confidence to communicate this.</w:t>
            </w:r>
          </w:p>
        </w:tc>
        <w:tc>
          <w:tcPr>
            <w:tcW w:w="4505" w:type="dxa"/>
          </w:tcPr>
          <w:p w14:paraId="0803F5CC" w14:textId="2D20CA65" w:rsidR="6DF75BEE" w:rsidRDefault="6DF75BEE" w:rsidP="6DF75BEE">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p>
        </w:tc>
      </w:tr>
    </w:tbl>
    <w:p w14:paraId="6849C897" w14:textId="71A132F4" w:rsidR="00077520" w:rsidRDefault="00077520" w:rsidP="00BF004C">
      <w:pPr>
        <w:pStyle w:val="NormalWeb"/>
        <w:shd w:val="clear" w:color="auto" w:fill="FFFFFF"/>
        <w:spacing w:before="0" w:beforeAutospacing="0"/>
        <w:rPr>
          <w:rFonts w:asciiTheme="minorHAnsi" w:hAnsiTheme="minorHAnsi" w:cstheme="minorHAnsi"/>
          <w:b/>
          <w:bCs/>
          <w:color w:val="000000" w:themeColor="text1"/>
          <w:sz w:val="25"/>
          <w:szCs w:val="25"/>
        </w:rPr>
      </w:pPr>
    </w:p>
    <w:p w14:paraId="4674CA00" w14:textId="200DD002" w:rsidR="00077520" w:rsidRPr="005B21D9" w:rsidRDefault="00077520" w:rsidP="574005F8">
      <w:pPr>
        <w:pStyle w:val="NormalWeb"/>
        <w:shd w:val="clear" w:color="auto" w:fill="FFFFFF" w:themeFill="background1"/>
        <w:spacing w:before="0" w:beforeAutospacing="0"/>
        <w:rPr>
          <w:rFonts w:asciiTheme="minorHAnsi" w:hAnsiTheme="minorHAnsi" w:cstheme="minorBidi"/>
          <w:b/>
          <w:bCs/>
          <w:color w:val="296D6C"/>
          <w:sz w:val="32"/>
          <w:szCs w:val="32"/>
        </w:rPr>
      </w:pPr>
      <w:r w:rsidRPr="005B21D9">
        <w:rPr>
          <w:rFonts w:asciiTheme="minorHAnsi" w:hAnsiTheme="minorHAnsi" w:cstheme="minorBidi"/>
          <w:b/>
          <w:bCs/>
          <w:color w:val="296D6C"/>
          <w:sz w:val="32"/>
          <w:szCs w:val="32"/>
        </w:rPr>
        <w:t>How to apply</w:t>
      </w:r>
    </w:p>
    <w:p w14:paraId="54832AF6" w14:textId="5FCDF059" w:rsidR="002C5D51" w:rsidRDefault="496FB5F1" w:rsidP="6DF75BEE">
      <w:pPr>
        <w:rPr>
          <w:i/>
          <w:iCs/>
          <w:color w:val="000000" w:themeColor="text1"/>
          <w:sz w:val="26"/>
          <w:szCs w:val="26"/>
        </w:rPr>
      </w:pPr>
      <w:r>
        <w:rPr>
          <w:noProof/>
        </w:rPr>
        <w:drawing>
          <wp:inline distT="0" distB="0" distL="0" distR="0" wp14:anchorId="189DD64C" wp14:editId="668BBDBA">
            <wp:extent cx="1203385" cy="1181100"/>
            <wp:effectExtent l="0" t="0" r="0" b="0"/>
            <wp:docPr id="2057818789" name="Picture 2057818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3385" cy="1181100"/>
                    </a:xfrm>
                    <a:prstGeom prst="rect">
                      <a:avLst/>
                    </a:prstGeom>
                  </pic:spPr>
                </pic:pic>
              </a:graphicData>
            </a:graphic>
          </wp:inline>
        </w:drawing>
      </w:r>
    </w:p>
    <w:p w14:paraId="45742DB7" w14:textId="1E6215B2" w:rsidR="00BF004C" w:rsidRPr="004C0658" w:rsidRDefault="002C5D51" w:rsidP="6DF75BEE">
      <w:pPr>
        <w:rPr>
          <w:i/>
          <w:iCs/>
          <w:color w:val="000000" w:themeColor="text1"/>
          <w:sz w:val="25"/>
          <w:szCs w:val="25"/>
        </w:rPr>
      </w:pPr>
      <w:r w:rsidRPr="004C0658">
        <w:rPr>
          <w:color w:val="000000" w:themeColor="text1"/>
          <w:sz w:val="25"/>
          <w:szCs w:val="25"/>
        </w:rPr>
        <w:t xml:space="preserve">The application form along with further information can be found by </w:t>
      </w:r>
      <w:hyperlink r:id="rId11">
        <w:r w:rsidRPr="6DF75BEE">
          <w:rPr>
            <w:rStyle w:val="Hyperlink"/>
            <w:sz w:val="25"/>
            <w:szCs w:val="25"/>
          </w:rPr>
          <w:t>following this link</w:t>
        </w:r>
      </w:hyperlink>
      <w:r w:rsidRPr="004C0658">
        <w:rPr>
          <w:color w:val="0070C0"/>
          <w:sz w:val="25"/>
          <w:szCs w:val="25"/>
        </w:rPr>
        <w:t xml:space="preserve"> </w:t>
      </w:r>
      <w:r w:rsidRPr="004C0658">
        <w:rPr>
          <w:color w:val="000000" w:themeColor="text1"/>
          <w:sz w:val="25"/>
          <w:szCs w:val="25"/>
        </w:rPr>
        <w:t>or scanning th</w:t>
      </w:r>
      <w:r w:rsidR="00465555" w:rsidRPr="004C0658">
        <w:rPr>
          <w:color w:val="000000" w:themeColor="text1"/>
          <w:sz w:val="25"/>
          <w:szCs w:val="25"/>
        </w:rPr>
        <w:t>e</w:t>
      </w:r>
      <w:r w:rsidRPr="004C0658">
        <w:rPr>
          <w:color w:val="000000" w:themeColor="text1"/>
          <w:sz w:val="25"/>
          <w:szCs w:val="25"/>
        </w:rPr>
        <w:t xml:space="preserve"> QR code. Schools applying </w:t>
      </w:r>
      <w:r w:rsidR="00465555" w:rsidRPr="004C0658">
        <w:rPr>
          <w:color w:val="000000" w:themeColor="text1"/>
          <w:sz w:val="25"/>
          <w:szCs w:val="25"/>
        </w:rPr>
        <w:t xml:space="preserve">will </w:t>
      </w:r>
      <w:r w:rsidRPr="004C0658">
        <w:rPr>
          <w:color w:val="000000" w:themeColor="text1"/>
          <w:sz w:val="25"/>
          <w:szCs w:val="25"/>
        </w:rPr>
        <w:t xml:space="preserve">undergo a selection procedure. Hubs will notify successful applicants/schools following the selection process (by </w:t>
      </w:r>
      <w:r w:rsidR="00FD2694" w:rsidRPr="004C0658">
        <w:rPr>
          <w:color w:val="000000" w:themeColor="text1"/>
          <w:sz w:val="25"/>
          <w:szCs w:val="25"/>
        </w:rPr>
        <w:t>12</w:t>
      </w:r>
      <w:r w:rsidR="00FD2694" w:rsidRPr="004C0658">
        <w:rPr>
          <w:color w:val="000000" w:themeColor="text1"/>
          <w:sz w:val="25"/>
          <w:szCs w:val="25"/>
          <w:vertAlign w:val="superscript"/>
        </w:rPr>
        <w:t>th</w:t>
      </w:r>
      <w:r w:rsidR="00FD2694" w:rsidRPr="004C0658">
        <w:rPr>
          <w:color w:val="000000" w:themeColor="text1"/>
          <w:sz w:val="25"/>
          <w:szCs w:val="25"/>
        </w:rPr>
        <w:t xml:space="preserve"> July</w:t>
      </w:r>
      <w:r w:rsidRPr="004C0658">
        <w:rPr>
          <w:color w:val="000000" w:themeColor="text1"/>
          <w:sz w:val="25"/>
          <w:szCs w:val="25"/>
        </w:rPr>
        <w:t>).</w:t>
      </w:r>
    </w:p>
    <w:p w14:paraId="5308D805" w14:textId="15542A89" w:rsidR="002C5D51" w:rsidRDefault="002C5D51" w:rsidP="00BF004C">
      <w:pPr>
        <w:rPr>
          <w:i/>
          <w:iCs/>
          <w:color w:val="000000" w:themeColor="text1"/>
          <w:sz w:val="25"/>
          <w:szCs w:val="25"/>
        </w:rPr>
      </w:pPr>
    </w:p>
    <w:p w14:paraId="58F097C5" w14:textId="005D02E7" w:rsidR="002C5D51" w:rsidRDefault="002C5D51" w:rsidP="002C5D51">
      <w:pPr>
        <w:jc w:val="center"/>
        <w:rPr>
          <w:b/>
          <w:bCs/>
          <w:color w:val="FF0000"/>
          <w:sz w:val="40"/>
          <w:szCs w:val="40"/>
        </w:rPr>
      </w:pPr>
      <w:r>
        <w:rPr>
          <w:b/>
          <w:bCs/>
          <w:color w:val="FF0000"/>
          <w:sz w:val="40"/>
          <w:szCs w:val="40"/>
        </w:rPr>
        <w:t xml:space="preserve">Deadline for applications: </w:t>
      </w:r>
      <w:r w:rsidR="00134FEB">
        <w:rPr>
          <w:b/>
          <w:bCs/>
          <w:color w:val="FF0000"/>
          <w:sz w:val="40"/>
          <w:szCs w:val="40"/>
        </w:rPr>
        <w:t xml:space="preserve">5pm on Friday </w:t>
      </w:r>
      <w:r w:rsidR="00FD2694">
        <w:rPr>
          <w:b/>
          <w:bCs/>
          <w:color w:val="FF0000"/>
          <w:sz w:val="40"/>
          <w:szCs w:val="40"/>
        </w:rPr>
        <w:t>2</w:t>
      </w:r>
      <w:r w:rsidR="00134FEB">
        <w:rPr>
          <w:b/>
          <w:bCs/>
          <w:color w:val="FF0000"/>
          <w:sz w:val="40"/>
          <w:szCs w:val="40"/>
        </w:rPr>
        <w:t>9</w:t>
      </w:r>
      <w:r w:rsidR="00FD2694" w:rsidRPr="00FD2694">
        <w:rPr>
          <w:b/>
          <w:bCs/>
          <w:color w:val="FF0000"/>
          <w:sz w:val="40"/>
          <w:szCs w:val="40"/>
          <w:vertAlign w:val="superscript"/>
        </w:rPr>
        <w:t>th</w:t>
      </w:r>
      <w:r w:rsidR="00FD2694">
        <w:rPr>
          <w:b/>
          <w:bCs/>
          <w:color w:val="FF0000"/>
          <w:sz w:val="40"/>
          <w:szCs w:val="40"/>
        </w:rPr>
        <w:t xml:space="preserve"> March</w:t>
      </w:r>
    </w:p>
    <w:p w14:paraId="4D6F26AC" w14:textId="3C2B8361" w:rsidR="002C5D51" w:rsidRDefault="002C5D51" w:rsidP="002C5D51">
      <w:pPr>
        <w:jc w:val="center"/>
        <w:rPr>
          <w:b/>
          <w:bCs/>
          <w:color w:val="FF0000"/>
          <w:sz w:val="40"/>
          <w:szCs w:val="40"/>
        </w:rPr>
      </w:pPr>
    </w:p>
    <w:p w14:paraId="6C5BF37B" w14:textId="01A2FACC" w:rsidR="002C5D51" w:rsidRPr="002C5D51" w:rsidRDefault="002C5D51" w:rsidP="004C0658">
      <w:pPr>
        <w:jc w:val="center"/>
        <w:rPr>
          <w:color w:val="000000" w:themeColor="text1"/>
          <w:sz w:val="25"/>
          <w:szCs w:val="25"/>
        </w:rPr>
      </w:pPr>
      <w:r>
        <w:rPr>
          <w:color w:val="000000" w:themeColor="text1"/>
          <w:sz w:val="25"/>
          <w:szCs w:val="25"/>
        </w:rPr>
        <w:t xml:space="preserve">If you have any questions, or for further information about this role, please contact us </w:t>
      </w:r>
      <w:hyperlink r:id="rId12" w:history="1">
        <w:r w:rsidR="00B7302A" w:rsidRPr="00B7302A">
          <w:rPr>
            <w:rStyle w:val="Hyperlink"/>
            <w:sz w:val="25"/>
            <w:szCs w:val="25"/>
          </w:rPr>
          <w:t>here</w:t>
        </w:r>
      </w:hyperlink>
      <w:r w:rsidR="00B7302A">
        <w:rPr>
          <w:color w:val="000000" w:themeColor="text1"/>
          <w:sz w:val="25"/>
          <w:szCs w:val="25"/>
        </w:rPr>
        <w:t>.</w:t>
      </w:r>
    </w:p>
    <w:sectPr w:rsidR="002C5D51" w:rsidRPr="002C5D51" w:rsidSect="004C0658">
      <w:headerReference w:type="default"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AC76" w14:textId="77777777" w:rsidR="00134FEB" w:rsidRDefault="00134FEB">
      <w:r>
        <w:separator/>
      </w:r>
    </w:p>
  </w:endnote>
  <w:endnote w:type="continuationSeparator" w:id="0">
    <w:p w14:paraId="087C99CB" w14:textId="77777777" w:rsidR="00134FEB" w:rsidRDefault="0013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4005F8" w14:paraId="5C8ABF26" w14:textId="77777777" w:rsidTr="574005F8">
      <w:trPr>
        <w:trHeight w:val="300"/>
      </w:trPr>
      <w:tc>
        <w:tcPr>
          <w:tcW w:w="3005" w:type="dxa"/>
        </w:tcPr>
        <w:p w14:paraId="13C0CB54" w14:textId="0292D59C" w:rsidR="574005F8" w:rsidRDefault="574005F8" w:rsidP="574005F8">
          <w:pPr>
            <w:pStyle w:val="Header"/>
            <w:ind w:left="-115"/>
          </w:pPr>
        </w:p>
      </w:tc>
      <w:tc>
        <w:tcPr>
          <w:tcW w:w="3005" w:type="dxa"/>
        </w:tcPr>
        <w:p w14:paraId="31FB9C26" w14:textId="02A1B626" w:rsidR="574005F8" w:rsidRDefault="574005F8" w:rsidP="574005F8">
          <w:pPr>
            <w:pStyle w:val="Header"/>
            <w:jc w:val="center"/>
          </w:pPr>
        </w:p>
      </w:tc>
      <w:tc>
        <w:tcPr>
          <w:tcW w:w="3005" w:type="dxa"/>
        </w:tcPr>
        <w:p w14:paraId="41658AF3" w14:textId="419E1176" w:rsidR="574005F8" w:rsidRDefault="574005F8" w:rsidP="574005F8">
          <w:pPr>
            <w:pStyle w:val="Header"/>
            <w:ind w:right="-115"/>
            <w:jc w:val="right"/>
          </w:pPr>
        </w:p>
      </w:tc>
    </w:tr>
  </w:tbl>
  <w:p w14:paraId="6E71C4C2" w14:textId="2DD1011B" w:rsidR="574005F8" w:rsidRDefault="574005F8" w:rsidP="5740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A85D" w14:textId="77777777" w:rsidR="00134FEB" w:rsidRDefault="00134FEB">
      <w:r>
        <w:separator/>
      </w:r>
    </w:p>
  </w:footnote>
  <w:footnote w:type="continuationSeparator" w:id="0">
    <w:p w14:paraId="40B13904" w14:textId="77777777" w:rsidR="00134FEB" w:rsidRDefault="0013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4005F8" w14:paraId="37B0F6FA" w14:textId="77777777" w:rsidTr="574005F8">
      <w:trPr>
        <w:trHeight w:val="300"/>
      </w:trPr>
      <w:tc>
        <w:tcPr>
          <w:tcW w:w="3005" w:type="dxa"/>
        </w:tcPr>
        <w:p w14:paraId="38213131" w14:textId="0D81F089" w:rsidR="574005F8" w:rsidRDefault="574005F8" w:rsidP="574005F8">
          <w:pPr>
            <w:pStyle w:val="Header"/>
            <w:ind w:left="-115"/>
          </w:pPr>
          <w:r>
            <w:rPr>
              <w:noProof/>
            </w:rPr>
            <w:drawing>
              <wp:inline distT="0" distB="0" distL="0" distR="0" wp14:anchorId="5BB7A75A" wp14:editId="760150E4">
                <wp:extent cx="1685925" cy="542925"/>
                <wp:effectExtent l="0" t="0" r="0" b="0"/>
                <wp:docPr id="1558325116" name="Picture 155832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42925"/>
                        </a:xfrm>
                        <a:prstGeom prst="rect">
                          <a:avLst/>
                        </a:prstGeom>
                      </pic:spPr>
                    </pic:pic>
                  </a:graphicData>
                </a:graphic>
              </wp:inline>
            </w:drawing>
          </w:r>
        </w:p>
      </w:tc>
      <w:tc>
        <w:tcPr>
          <w:tcW w:w="3005" w:type="dxa"/>
        </w:tcPr>
        <w:p w14:paraId="0A284E44" w14:textId="2917C7BD" w:rsidR="574005F8" w:rsidRDefault="574005F8" w:rsidP="574005F8">
          <w:pPr>
            <w:pStyle w:val="Header"/>
            <w:jc w:val="center"/>
          </w:pPr>
        </w:p>
      </w:tc>
      <w:tc>
        <w:tcPr>
          <w:tcW w:w="3005" w:type="dxa"/>
        </w:tcPr>
        <w:p w14:paraId="28C85236" w14:textId="7355910D" w:rsidR="574005F8" w:rsidRDefault="574005F8" w:rsidP="574005F8">
          <w:pPr>
            <w:pStyle w:val="Header"/>
            <w:ind w:right="-115"/>
            <w:jc w:val="right"/>
          </w:pPr>
          <w:r>
            <w:rPr>
              <w:noProof/>
            </w:rPr>
            <w:drawing>
              <wp:inline distT="0" distB="0" distL="0" distR="0" wp14:anchorId="04D11578" wp14:editId="3B48F00B">
                <wp:extent cx="1762125" cy="561975"/>
                <wp:effectExtent l="0" t="0" r="0" b="0"/>
                <wp:docPr id="1887259112" name="Picture 188725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62125" cy="561975"/>
                        </a:xfrm>
                        <a:prstGeom prst="rect">
                          <a:avLst/>
                        </a:prstGeom>
                      </pic:spPr>
                    </pic:pic>
                  </a:graphicData>
                </a:graphic>
              </wp:inline>
            </w:drawing>
          </w:r>
        </w:p>
      </w:tc>
    </w:tr>
  </w:tbl>
  <w:p w14:paraId="30B6B3F5" w14:textId="2A83DBAB" w:rsidR="574005F8" w:rsidRDefault="574005F8" w:rsidP="57400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DAF"/>
    <w:multiLevelType w:val="hybridMultilevel"/>
    <w:tmpl w:val="1B12E41A"/>
    <w:lvl w:ilvl="0" w:tplc="6AACD156">
      <w:start w:val="1"/>
      <w:numFmt w:val="bullet"/>
      <w:lvlText w:val=""/>
      <w:lvlJc w:val="left"/>
      <w:pPr>
        <w:ind w:left="720" w:hanging="360"/>
      </w:pPr>
      <w:rPr>
        <w:rFonts w:ascii="Symbol" w:hAnsi="Symbol" w:hint="default"/>
      </w:rPr>
    </w:lvl>
    <w:lvl w:ilvl="1" w:tplc="5814562A">
      <w:start w:val="1"/>
      <w:numFmt w:val="bullet"/>
      <w:lvlText w:val="o"/>
      <w:lvlJc w:val="left"/>
      <w:pPr>
        <w:ind w:left="1440" w:hanging="360"/>
      </w:pPr>
      <w:rPr>
        <w:rFonts w:ascii="Courier New" w:hAnsi="Courier New" w:hint="default"/>
      </w:rPr>
    </w:lvl>
    <w:lvl w:ilvl="2" w:tplc="E26CC668">
      <w:start w:val="1"/>
      <w:numFmt w:val="bullet"/>
      <w:lvlText w:val=""/>
      <w:lvlJc w:val="left"/>
      <w:pPr>
        <w:ind w:left="2160" w:hanging="360"/>
      </w:pPr>
      <w:rPr>
        <w:rFonts w:ascii="Wingdings" w:hAnsi="Wingdings" w:hint="default"/>
      </w:rPr>
    </w:lvl>
    <w:lvl w:ilvl="3" w:tplc="36523F38">
      <w:start w:val="1"/>
      <w:numFmt w:val="bullet"/>
      <w:lvlText w:val=""/>
      <w:lvlJc w:val="left"/>
      <w:pPr>
        <w:ind w:left="2880" w:hanging="360"/>
      </w:pPr>
      <w:rPr>
        <w:rFonts w:ascii="Symbol" w:hAnsi="Symbol" w:hint="default"/>
      </w:rPr>
    </w:lvl>
    <w:lvl w:ilvl="4" w:tplc="B3E287EC">
      <w:start w:val="1"/>
      <w:numFmt w:val="bullet"/>
      <w:lvlText w:val="o"/>
      <w:lvlJc w:val="left"/>
      <w:pPr>
        <w:ind w:left="3600" w:hanging="360"/>
      </w:pPr>
      <w:rPr>
        <w:rFonts w:ascii="Courier New" w:hAnsi="Courier New" w:hint="default"/>
      </w:rPr>
    </w:lvl>
    <w:lvl w:ilvl="5" w:tplc="D3225DD4">
      <w:start w:val="1"/>
      <w:numFmt w:val="bullet"/>
      <w:lvlText w:val=""/>
      <w:lvlJc w:val="left"/>
      <w:pPr>
        <w:ind w:left="4320" w:hanging="360"/>
      </w:pPr>
      <w:rPr>
        <w:rFonts w:ascii="Wingdings" w:hAnsi="Wingdings" w:hint="default"/>
      </w:rPr>
    </w:lvl>
    <w:lvl w:ilvl="6" w:tplc="E6CEFBEC">
      <w:start w:val="1"/>
      <w:numFmt w:val="bullet"/>
      <w:lvlText w:val=""/>
      <w:lvlJc w:val="left"/>
      <w:pPr>
        <w:ind w:left="5040" w:hanging="360"/>
      </w:pPr>
      <w:rPr>
        <w:rFonts w:ascii="Symbol" w:hAnsi="Symbol" w:hint="default"/>
      </w:rPr>
    </w:lvl>
    <w:lvl w:ilvl="7" w:tplc="57CEDA22">
      <w:start w:val="1"/>
      <w:numFmt w:val="bullet"/>
      <w:lvlText w:val="o"/>
      <w:lvlJc w:val="left"/>
      <w:pPr>
        <w:ind w:left="5760" w:hanging="360"/>
      </w:pPr>
      <w:rPr>
        <w:rFonts w:ascii="Courier New" w:hAnsi="Courier New" w:hint="default"/>
      </w:rPr>
    </w:lvl>
    <w:lvl w:ilvl="8" w:tplc="C45C7F0C">
      <w:start w:val="1"/>
      <w:numFmt w:val="bullet"/>
      <w:lvlText w:val=""/>
      <w:lvlJc w:val="left"/>
      <w:pPr>
        <w:ind w:left="6480" w:hanging="360"/>
      </w:pPr>
      <w:rPr>
        <w:rFonts w:ascii="Wingdings" w:hAnsi="Wingdings" w:hint="default"/>
      </w:rPr>
    </w:lvl>
  </w:abstractNum>
  <w:abstractNum w:abstractNumId="1" w15:restartNumberingAfterBreak="0">
    <w:nsid w:val="22403890"/>
    <w:multiLevelType w:val="hybridMultilevel"/>
    <w:tmpl w:val="9D2C17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706252">
    <w:abstractNumId w:val="0"/>
  </w:num>
  <w:num w:numId="2" w16cid:durableId="605119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8F"/>
    <w:rsid w:val="00077520"/>
    <w:rsid w:val="00134FEB"/>
    <w:rsid w:val="00175E8F"/>
    <w:rsid w:val="001E48E5"/>
    <w:rsid w:val="002C5D51"/>
    <w:rsid w:val="00465555"/>
    <w:rsid w:val="004A517D"/>
    <w:rsid w:val="004C0658"/>
    <w:rsid w:val="005B21D9"/>
    <w:rsid w:val="006A54A5"/>
    <w:rsid w:val="00817498"/>
    <w:rsid w:val="008935F8"/>
    <w:rsid w:val="008F0604"/>
    <w:rsid w:val="009C3025"/>
    <w:rsid w:val="009C56FA"/>
    <w:rsid w:val="009E134F"/>
    <w:rsid w:val="00A32919"/>
    <w:rsid w:val="00B36B42"/>
    <w:rsid w:val="00B531BD"/>
    <w:rsid w:val="00B7302A"/>
    <w:rsid w:val="00BC0C96"/>
    <w:rsid w:val="00BF004C"/>
    <w:rsid w:val="00C621A8"/>
    <w:rsid w:val="00DC4F59"/>
    <w:rsid w:val="00E343A3"/>
    <w:rsid w:val="00F82B94"/>
    <w:rsid w:val="00FD2694"/>
    <w:rsid w:val="014644D1"/>
    <w:rsid w:val="04D23352"/>
    <w:rsid w:val="053E3376"/>
    <w:rsid w:val="0789FECB"/>
    <w:rsid w:val="0A11A499"/>
    <w:rsid w:val="12CCB172"/>
    <w:rsid w:val="195B3859"/>
    <w:rsid w:val="1A9F6C65"/>
    <w:rsid w:val="1D0468C2"/>
    <w:rsid w:val="21553F90"/>
    <w:rsid w:val="252000DD"/>
    <w:rsid w:val="2E8271A3"/>
    <w:rsid w:val="37752D03"/>
    <w:rsid w:val="3AFBC08C"/>
    <w:rsid w:val="409D1797"/>
    <w:rsid w:val="429FE9B9"/>
    <w:rsid w:val="4400637E"/>
    <w:rsid w:val="47101D51"/>
    <w:rsid w:val="496FB5F1"/>
    <w:rsid w:val="4C407ED0"/>
    <w:rsid w:val="51AAC28A"/>
    <w:rsid w:val="54B2FCE1"/>
    <w:rsid w:val="574005F8"/>
    <w:rsid w:val="59C3585B"/>
    <w:rsid w:val="61A7BDF7"/>
    <w:rsid w:val="6204AE53"/>
    <w:rsid w:val="66D38549"/>
    <w:rsid w:val="6906FE38"/>
    <w:rsid w:val="690AC26E"/>
    <w:rsid w:val="6ABFBB2C"/>
    <w:rsid w:val="6DF75BEE"/>
    <w:rsid w:val="7F3B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192E"/>
  <w15:chartTrackingRefBased/>
  <w15:docId w15:val="{18CC25F2-09A2-DE4F-9A32-9E51C8A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48E5"/>
    <w:rPr>
      <w:i/>
      <w:iCs/>
    </w:rPr>
  </w:style>
  <w:style w:type="paragraph" w:styleId="NormalWeb">
    <w:name w:val="Normal (Web)"/>
    <w:basedOn w:val="Normal"/>
    <w:uiPriority w:val="99"/>
    <w:semiHidden/>
    <w:unhideWhenUsed/>
    <w:rsid w:val="00BF004C"/>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1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81749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Hyperlink">
    <w:name w:val="Hyperlink"/>
    <w:basedOn w:val="DefaultParagraphFont"/>
    <w:uiPriority w:val="99"/>
    <w:unhideWhenUsed/>
    <w:rsid w:val="002C5D51"/>
    <w:rPr>
      <w:color w:val="0563C1" w:themeColor="hyperlink"/>
      <w:u w:val="single"/>
    </w:rPr>
  </w:style>
  <w:style w:type="character" w:styleId="UnresolvedMention">
    <w:name w:val="Unresolved Mention"/>
    <w:basedOn w:val="DefaultParagraphFont"/>
    <w:uiPriority w:val="99"/>
    <w:semiHidden/>
    <w:unhideWhenUsed/>
    <w:rsid w:val="002C5D51"/>
    <w:rPr>
      <w:color w:val="605E5C"/>
      <w:shd w:val="clear" w:color="auto" w:fill="E1DFDD"/>
    </w:rPr>
  </w:style>
  <w:style w:type="character" w:styleId="FollowedHyperlink">
    <w:name w:val="FollowedHyperlink"/>
    <w:basedOn w:val="DefaultParagraphFont"/>
    <w:uiPriority w:val="99"/>
    <w:semiHidden/>
    <w:unhideWhenUsed/>
    <w:rsid w:val="00DC4F59"/>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ememathshub.org?subject=Secondary%20Mastery%20Specialist%20Cohort%2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projects/post-16-gcse-and-fsq-mastery-specialis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3c0211-0172-4e72-9d55-199fde031ffe" xsi:nil="true"/>
    <lcf76f155ced4ddcb4097134ff3c332f xmlns="49be792f-553d-42e0-92d9-88d5d3ad7e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EFE73BCE9104D8C36F6CA59722A9A" ma:contentTypeVersion="6" ma:contentTypeDescription="Create a new document." ma:contentTypeScope="" ma:versionID="dbb564cd90b69e80428e32c28bf32719">
  <xsd:schema xmlns:xsd="http://www.w3.org/2001/XMLSchema" xmlns:xs="http://www.w3.org/2001/XMLSchema" xmlns:p="http://schemas.microsoft.com/office/2006/metadata/properties" xmlns:ns2="49be792f-553d-42e0-92d9-88d5d3ad7ef0" xmlns:ns3="8a0cb03e-bfb8-472e-a0ac-a73e4ba68580" xmlns:ns4="a93c0211-0172-4e72-9d55-199fde031ffe" targetNamespace="http://schemas.microsoft.com/office/2006/metadata/properties" ma:root="true" ma:fieldsID="53b8d67c8ceb0ff1b1323098b59196a4" ns2:_="" ns3:_="" ns4:_="">
    <xsd:import namespace="49be792f-553d-42e0-92d9-88d5d3ad7ef0"/>
    <xsd:import namespace="8a0cb03e-bfb8-472e-a0ac-a73e4ba68580"/>
    <xsd:import namespace="a93c0211-0172-4e72-9d55-199fde031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4:TaxCatchAll" minOccurs="0"/>
                <xsd:element ref="ns2:MediaServiceObjectDetectorVersion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792f-553d-42e0-92d9-88d5d3ad7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ea0c07-d1c0-49a5-b3b1-34169af700dc"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c0211-0172-4e72-9d55-199fde031ffe"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1a62e4ce-8d42-48f2-b067-10d4f7053ddd}" ma:internalName="TaxCatchAll" ma:showField="CatchAllData" ma:web="a93c0211-0172-4e72-9d55-199fde031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7BC8B-4CD1-4BEB-835E-004FF2ED5068}">
  <ds:schemaRefs>
    <ds:schemaRef ds:uri="http://schemas.microsoft.com/office/2006/metadata/properties"/>
    <ds:schemaRef ds:uri="http://schemas.microsoft.com/office/infopath/2007/PartnerControls"/>
    <ds:schemaRef ds:uri="a93c0211-0172-4e72-9d55-199fde031ffe"/>
    <ds:schemaRef ds:uri="49be792f-553d-42e0-92d9-88d5d3ad7ef0"/>
  </ds:schemaRefs>
</ds:datastoreItem>
</file>

<file path=customXml/itemProps2.xml><?xml version="1.0" encoding="utf-8"?>
<ds:datastoreItem xmlns:ds="http://schemas.openxmlformats.org/officeDocument/2006/customXml" ds:itemID="{A007513F-9846-4A15-AA5C-98D3FFBA15C8}">
  <ds:schemaRefs>
    <ds:schemaRef ds:uri="http://schemas.microsoft.com/sharepoint/v3/contenttype/forms"/>
  </ds:schemaRefs>
</ds:datastoreItem>
</file>

<file path=customXml/itemProps3.xml><?xml version="1.0" encoding="utf-8"?>
<ds:datastoreItem xmlns:ds="http://schemas.openxmlformats.org/officeDocument/2006/customXml" ds:itemID="{D28E706B-E536-40FE-B3C3-C5E25F0B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792f-553d-42e0-92d9-88d5d3ad7ef0"/>
    <ds:schemaRef ds:uri="8a0cb03e-bfb8-472e-a0ac-a73e4ba68580"/>
    <ds:schemaRef ds:uri="a93c0211-0172-4e72-9d55-199fde031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Marshall</dc:creator>
  <cp:keywords/>
  <dc:description/>
  <cp:lastModifiedBy>Mrs A Rowson</cp:lastModifiedBy>
  <cp:revision>18</cp:revision>
  <dcterms:created xsi:type="dcterms:W3CDTF">2024-01-10T11:54:00Z</dcterms:created>
  <dcterms:modified xsi:type="dcterms:W3CDTF">2024-03-04T11:56:00Z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0x010100028EFE73BCE9104D8C36F6CA59722A9A</vt:lpwstr>
  </property>
  <property fmtid="{D5CDD505-2E9C-101B-9397-08002B2CF9AE}" pid="3" name="MediaServiceImageTags">
    <vt:lpwstr/>
  </property>
</Properties>
</file>